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autoSpaceDE/>
        <w:autoSpaceDN/>
        <w:bidi w:val="0"/>
        <w:adjustRightInd/>
        <w:snapToGrid/>
        <w:spacing w:line="560" w:lineRule="exact"/>
        <w:jc w:val="center"/>
        <w:outlineLvl w:val="9"/>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sz w:val="32"/>
          <w:szCs w:val="32"/>
        </w:rPr>
        <w:t>地磅</w:t>
      </w:r>
      <w:r>
        <w:rPr>
          <w:rFonts w:hint="eastAsia" w:ascii="仿宋_GB2312" w:hAnsi="仿宋_GB2312" w:eastAsia="仿宋_GB2312" w:cs="仿宋_GB2312"/>
          <w:b/>
          <w:bCs/>
          <w:sz w:val="32"/>
          <w:szCs w:val="32"/>
          <w:lang w:eastAsia="zh-CN"/>
        </w:rPr>
        <w:t>采购安装</w:t>
      </w:r>
      <w:r>
        <w:rPr>
          <w:rFonts w:hint="eastAsia" w:ascii="仿宋_GB2312" w:hAnsi="仿宋_GB2312" w:eastAsia="仿宋_GB2312" w:cs="仿宋_GB2312"/>
          <w:b/>
          <w:bCs/>
          <w:sz w:val="32"/>
          <w:szCs w:val="32"/>
        </w:rPr>
        <w:t>合同</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 方:</w:t>
      </w:r>
    </w:p>
    <w:p>
      <w:pPr>
        <w:keepNext w:val="0"/>
        <w:keepLines w:val="0"/>
        <w:pageBreakBefore w:val="0"/>
        <w:kinsoku/>
        <w:overflowPunct/>
        <w:autoSpaceDE/>
        <w:autoSpaceDN/>
        <w:bidi w:val="0"/>
        <w:adjustRightInd/>
        <w:snapToGrid/>
        <w:spacing w:line="240" w:lineRule="auto"/>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 方:</w:t>
      </w:r>
    </w:p>
    <w:p>
      <w:pPr>
        <w:keepNext w:val="0"/>
        <w:keepLines w:val="0"/>
        <w:pageBreakBefore w:val="0"/>
        <w:kinsoku/>
        <w:overflowPunct/>
        <w:autoSpaceDE/>
        <w:autoSpaceDN/>
        <w:bidi w:val="0"/>
        <w:adjustRightInd/>
        <w:snapToGrid/>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根据《中华人民共和国民法典》及其它相关法律、法规之规定，按照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平等互利原则，甲、乙双方就</w:t>
      </w:r>
      <w:r>
        <w:rPr>
          <w:rFonts w:hint="eastAsia" w:ascii="仿宋_GB2312" w:hAnsi="仿宋_GB2312" w:eastAsia="仿宋_GB2312" w:cs="仿宋_GB2312"/>
          <w:sz w:val="32"/>
          <w:szCs w:val="32"/>
          <w:lang w:eastAsia="zh-CN"/>
        </w:rPr>
        <w:t>地磅</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与安装</w:t>
      </w:r>
      <w:r>
        <w:rPr>
          <w:rFonts w:hint="eastAsia" w:ascii="仿宋_GB2312" w:hAnsi="仿宋_GB2312" w:eastAsia="仿宋_GB2312" w:cs="仿宋_GB2312"/>
          <w:sz w:val="32"/>
          <w:szCs w:val="32"/>
        </w:rPr>
        <w:t>有关事宜协商一致，订立本合同。</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一、标的物的品名、规格、数量、单价：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815"/>
        <w:gridCol w:w="1755"/>
        <w:gridCol w:w="1320"/>
        <w:gridCol w:w="1155"/>
        <w:gridCol w:w="141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780"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815" w:type="dxa"/>
          </w:tcPr>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w:t>
            </w:r>
          </w:p>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1755" w:type="dxa"/>
          </w:tcPr>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规格</w:t>
            </w:r>
          </w:p>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型号</w:t>
            </w:r>
          </w:p>
        </w:tc>
        <w:tc>
          <w:tcPr>
            <w:tcW w:w="1320" w:type="dxa"/>
          </w:tcPr>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w:t>
            </w:r>
          </w:p>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厂家</w:t>
            </w:r>
          </w:p>
        </w:tc>
        <w:tc>
          <w:tcPr>
            <w:tcW w:w="1155" w:type="dxa"/>
          </w:tcPr>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单价</w:t>
            </w:r>
          </w:p>
        </w:tc>
        <w:tc>
          <w:tcPr>
            <w:tcW w:w="1410" w:type="dxa"/>
          </w:tcPr>
          <w:p>
            <w:pPr>
              <w:keepNext w:val="0"/>
              <w:keepLines w:val="0"/>
              <w:pageBreakBefore w:val="0"/>
              <w:kinsoku/>
              <w:overflowPunct/>
              <w:autoSpaceDE/>
              <w:autoSpaceDN/>
              <w:bidi w:val="0"/>
              <w:adjustRightInd/>
              <w:snapToGrid/>
              <w:spacing w:line="560" w:lineRule="exact"/>
              <w:ind w:left="0" w:left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1830" w:type="dxa"/>
          </w:tcPr>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kinsoku/>
              <w:overflowPunct/>
              <w:autoSpaceDE/>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815"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tc>
        <w:tc>
          <w:tcPr>
            <w:tcW w:w="1755"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tc>
        <w:tc>
          <w:tcPr>
            <w:tcW w:w="1320"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tc>
        <w:tc>
          <w:tcPr>
            <w:tcW w:w="1155"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tc>
        <w:tc>
          <w:tcPr>
            <w:tcW w:w="1410"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tc>
        <w:tc>
          <w:tcPr>
            <w:tcW w:w="1830" w:type="dxa"/>
          </w:tcPr>
          <w:p>
            <w:pPr>
              <w:keepNext w:val="0"/>
              <w:keepLines w:val="0"/>
              <w:pageBreakBefore w:val="0"/>
              <w:kinsoku/>
              <w:overflowPunct/>
              <w:autoSpaceDE/>
              <w:autoSpaceDN/>
              <w:bidi w:val="0"/>
              <w:adjustRightInd/>
              <w:snapToGrid/>
              <w:spacing w:line="560" w:lineRule="exact"/>
              <w:rPr>
                <w:rFonts w:hint="eastAsia" w:ascii="仿宋_GB2312" w:hAnsi="仿宋_GB2312" w:eastAsia="仿宋_GB2312" w:cs="仿宋_GB2312"/>
                <w:sz w:val="32"/>
                <w:szCs w:val="32"/>
              </w:rPr>
            </w:pPr>
          </w:p>
        </w:tc>
      </w:tr>
    </w:tbl>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.合同最终数量和质量以甲方最终实际验收的数量为准；</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2.上表材料单价包括但不限于材料出厂价、包装费、运至指定交货地点的运费、装卸费、安装调试费、吊装费及各种税费等与采购相关的一切费用。</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二、质量要求</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质量标准：地磅必须符合国家标准要求。如不符合以上要求，乙方负责包退、包换、由此造成甲方工期延误等相关损失，由乙方负完全责任，一切费用由乙方承担。</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三、包装标准、包装物的提供与回收、运输</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包装标准：乙方对地磅保证经多次转运不散包、不变形、不损坏、质量不发生任何变化，如在运输过程中由于包装、运输等原因造成的损伤、变形或损坏，乙方承担一切责任和损失。</w:t>
      </w:r>
    </w:p>
    <w:p>
      <w:pPr>
        <w:pStyle w:val="2"/>
        <w:keepNext w:val="0"/>
        <w:keepLines w:val="0"/>
        <w:pageBreakBefore w:val="0"/>
        <w:kinsoku/>
        <w:overflowPunct/>
        <w:autoSpaceDE/>
        <w:autoSpaceDN/>
        <w:bidi w:val="0"/>
        <w:adjustRightInd/>
        <w:snapToGrid/>
        <w:spacing w:before="0" w:beforeAutospacing="0" w:after="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2.运输方式：</w:t>
      </w:r>
      <w:r>
        <w:rPr>
          <w:rFonts w:hint="eastAsia" w:ascii="仿宋_GB2312" w:hAnsi="仿宋_GB2312" w:eastAsia="仿宋_GB2312" w:cs="仿宋_GB2312"/>
          <w:sz w:val="32"/>
          <w:szCs w:val="32"/>
        </w:rPr>
        <w:t>乙方自行决定</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四、材料所有权及风险转移</w:t>
      </w:r>
    </w:p>
    <w:p>
      <w:pPr>
        <w:pStyle w:val="2"/>
        <w:keepNext w:val="0"/>
        <w:keepLines w:val="0"/>
        <w:pageBreakBefore w:val="0"/>
        <w:kinsoku/>
        <w:overflowPunct/>
        <w:autoSpaceDE/>
        <w:autoSpaceDN/>
        <w:bidi w:val="0"/>
        <w:adjustRightInd/>
        <w:snapToGrid/>
        <w:spacing w:before="0" w:beforeAutospacing="0" w:after="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地磅的所有权自乙方在本合同约定的交货地点或甲方通知指定的交货地点交付时起归甲方所有。</w:t>
      </w:r>
    </w:p>
    <w:p>
      <w:pPr>
        <w:pStyle w:val="3"/>
        <w:keepNext w:val="0"/>
        <w:keepLines w:val="0"/>
        <w:pageBreakBefore w:val="0"/>
        <w:kinsoku/>
        <w:overflowPunct/>
        <w:autoSpaceDE/>
        <w:autoSpaceDN/>
        <w:bidi w:val="0"/>
        <w:adjustRightInd/>
        <w:snapToGrid/>
        <w:spacing w:before="0" w:beforeAutospacing="0" w:after="0" w:afterAutospacing="0"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材料毁损、灭失的风险由自本合同第七条约定检验期间届满之日起由甲方承担，经按第七条约定检验，质量不符合本合同约定时，毁损、灭失风险仍然由乙方承担。</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五、材料交付</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交付时间：以甲方书面通知要求为准。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交货地点：</w:t>
      </w:r>
      <w:r>
        <w:rPr>
          <w:rFonts w:hint="eastAsia" w:ascii="仿宋_GB2312" w:hAnsi="仿宋_GB2312" w:eastAsia="仿宋_GB2312" w:cs="仿宋_GB2312"/>
          <w:sz w:val="32"/>
          <w:szCs w:val="32"/>
          <w:lang w:val="en-US" w:eastAsia="zh-CN"/>
        </w:rPr>
        <w:t>广元经开区盘龙镇五佛崖村</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乙方负责安装甲方书面通知的要求将设备配送到指定地点，并负责安装、调试。</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六、交付方式</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本合同材料交付采用实物方式交付，乙方负责设备运输、安装、调试等工作，并承担由此产生的费用。</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乙方交付材料时应同时提供出厂合格证明、质保书等技术资料，如有许可要求时还应当提供许可证，否则视为材料未交付。</w:t>
      </w:r>
    </w:p>
    <w:p>
      <w:pPr>
        <w:pStyle w:val="2"/>
        <w:keepNext w:val="0"/>
        <w:keepLines w:val="0"/>
        <w:pageBreakBefore w:val="0"/>
        <w:kinsoku/>
        <w:overflowPunct/>
        <w:autoSpaceDE/>
        <w:autoSpaceDN/>
        <w:bidi w:val="0"/>
        <w:adjustRightInd/>
        <w:snapToGrid/>
        <w:spacing w:before="0" w:beforeAutospacing="0" w:after="0" w:afterAutospacing="0"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材料交付并经甲方初验后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甲方材料验收人员在材料交付单据上签字并经甲方指定</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人同时签字确认。未经甲方确认人签字确认的交付单据无效，视为乙方未交付。甲方检验与签字确认不能免除乙方的质量责任。</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七、材料检验</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SA"/>
        </w:rPr>
        <w:t>1.</w:t>
      </w:r>
      <w:r>
        <w:rPr>
          <w:rFonts w:hint="eastAsia" w:ascii="仿宋_GB2312" w:hAnsi="仿宋_GB2312" w:eastAsia="仿宋_GB2312" w:cs="仿宋_GB2312"/>
          <w:sz w:val="32"/>
          <w:szCs w:val="32"/>
        </w:rPr>
        <w:t>检验期间：甲方应当在收到材料之日起 3日内对材料进行检验。</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检验期间：甲方应当在收到材料之日起 3日内对材料进行检验。</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检验材料规格、型号、数量或者质量不符合本合同约定时，甲方应将该情形在检验期间内书面通知乙方。乙方对质量检验结果有异议时，双方可封存本批材料实物试样，共同选择并送甲方指定交付当地计量检测中心检验，检验费乙方先行支付。经检验确定质量存在问题时检验费由乙方承担，造成延期交付时，乙方承担延期交付违约责任。反之检验费甲方承担。</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4.材料数量不符合约定时，乙方应补足差额；质量、规格型号不符合约定时，乙方应负责更换，造成迟延交付时乙方承担延期交付违约责任。</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乙方拒绝补足数量、更换质量、型号规格不符合约定产品时，甲方有权就该部分材料解除合同，乙方承担违约责任。</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乙方交付的产品质量、规格型号不符合合同约定时甲方有权拒绝收货，由此导致材料交付迟延时，乙方承担违约责任。</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八、结算方式</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签订合同后地磅基础设施完工后支付该项目总额20%，完成安装及检测工作，达到使用条件后支付尾款。</w:t>
      </w:r>
      <w:r>
        <w:rPr>
          <w:rFonts w:hint="eastAsia" w:ascii="仿宋_GB2312" w:hAnsi="仿宋_GB2312" w:eastAsia="仿宋_GB2312" w:cs="仿宋_GB2312"/>
          <w:sz w:val="32"/>
          <w:szCs w:val="32"/>
        </w:rPr>
        <w:t>乙方均应按甲方要求提供书面的请款单，并提前提供与每笔请款金额相等的货物销售发票，否则甲方不予支付。</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九、甲乙双方权利</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1.乙方保证对所提供的材料享有完全的所有权或者处分权。否则，乙方承担一切责任，并赔偿给甲方造成的一切损失。</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2.乙方保证对所提供的材料和技术文件不侵犯任何第三方的知识产权。否则，乙方承担一切责任，并赔偿给甲方造成的一切损失。</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十、合同的变更与解除</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合同履行过程中双方对合同的变更应当以书面的形式且经双方授权代表签字或双方盖章后生效。</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本合同未约定时，合同解除以《民法典》规定为准。</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十</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、违约责任</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迟延交付材料，每拖延一天应向甲方支付 500 元人民币的违约金。拖延超过 2 天，或者经甲方催告，在催告期内仍未交付的，甲方有权解除本合同。</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乙方交付材料不符合本合同约定质量、规格型号、数量导致合同全部或者部分解除，应向甲方支付或者合同总价 10 %的违约金。</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如乙方单位单方面停止供货、无论何种原因、双方不愿协商或协商不成的，可向甲方所在地人民法院提起诉讼。</w:t>
      </w:r>
    </w:p>
    <w:p>
      <w:pPr>
        <w:keepNext w:val="0"/>
        <w:keepLines w:val="0"/>
        <w:pageBreakBefore w:val="0"/>
        <w:kinsoku/>
        <w:overflow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双方在合同履行中发生争议，可以协商解决，双方不愿协商或协商不成的，可向甲方所在地人民法院提起诉讼。中因联系差错造成损失时对方不承担责任。</w:t>
      </w:r>
    </w:p>
    <w:p>
      <w:pPr>
        <w:keepNext w:val="0"/>
        <w:keepLines w:val="0"/>
        <w:pageBreakBefore w:val="0"/>
        <w:kinsoku/>
        <w:overflowPunct/>
        <w:autoSpaceDE/>
        <w:autoSpaceDN/>
        <w:bidi w:val="0"/>
        <w:adjustRightInd/>
        <w:snapToGrid/>
        <w:spacing w:beforeAutospacing="0" w:afterAutospacing="0"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十</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合同效力与份数</w:t>
      </w:r>
    </w:p>
    <w:p>
      <w:pPr>
        <w:pStyle w:val="2"/>
        <w:keepNext w:val="0"/>
        <w:keepLines w:val="0"/>
        <w:pageBreakBefore w:val="0"/>
        <w:kinsoku/>
        <w:overflowPunct/>
        <w:autoSpaceDE/>
        <w:autoSpaceDN/>
        <w:bidi w:val="0"/>
        <w:adjustRightInd/>
        <w:snapToGrid/>
        <w:spacing w:before="0" w:beforeAutospacing="0" w:after="0" w:afterAutospacing="0" w:line="24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本合同一式肆份，甲方执贰份，乙方执贰份，自签字后生效，望双方共同遵守。</w:t>
      </w:r>
    </w:p>
    <w:p>
      <w:pPr>
        <w:pStyle w:val="2"/>
        <w:keepNext w:val="0"/>
        <w:keepLines w:val="0"/>
        <w:pageBreakBefore w:val="0"/>
        <w:kinsoku/>
        <w:overflowPunct/>
        <w:autoSpaceDE/>
        <w:autoSpaceDN/>
        <w:bidi w:val="0"/>
        <w:adjustRightInd/>
        <w:snapToGrid/>
        <w:spacing w:before="0" w:beforeAutospacing="0" w:after="0" w:afterAutospacing="0" w:line="240" w:lineRule="auto"/>
        <w:ind w:firstLine="640" w:firstLineChars="200"/>
        <w:rPr>
          <w:rFonts w:hint="eastAsia" w:ascii="仿宋_GB2312" w:hAnsi="仿宋_GB2312" w:eastAsia="仿宋_GB2312" w:cs="仿宋_GB2312"/>
          <w:bCs/>
          <w:color w:val="171717"/>
          <w:sz w:val="32"/>
          <w:szCs w:val="32"/>
        </w:rPr>
      </w:pPr>
      <w:r>
        <w:rPr>
          <w:rFonts w:hint="eastAsia" w:ascii="仿宋_GB2312" w:hAnsi="仿宋_GB2312" w:eastAsia="仿宋_GB2312" w:cs="仿宋_GB2312"/>
          <w:sz w:val="32"/>
          <w:szCs w:val="32"/>
          <w:shd w:val="clear" w:color="auto" w:fill="FFFFFF"/>
        </w:rPr>
        <w:t>甲方签字（盖章）：               乙方签字（盖章）：</w:t>
      </w:r>
    </w:p>
    <w:p>
      <w:pPr>
        <w:keepNext w:val="0"/>
        <w:keepLines w:val="0"/>
        <w:pageBreakBefore w:val="0"/>
        <w:kinsoku/>
        <w:overflowPunct/>
        <w:autoSpaceDE/>
        <w:autoSpaceDN/>
        <w:bidi w:val="0"/>
        <w:adjustRightInd/>
        <w:snapToGrid/>
        <w:spacing w:line="560" w:lineRule="exact"/>
        <w:textAlignment w:val="baseline"/>
        <w:rPr>
          <w:rFonts w:hint="eastAsia" w:ascii="仿宋_GB2312" w:hAnsi="仿宋_GB2312" w:eastAsia="仿宋_GB2312" w:cs="仿宋_GB2312"/>
          <w:bCs/>
          <w:color w:val="171717"/>
          <w:sz w:val="32"/>
          <w:szCs w:val="32"/>
        </w:rPr>
      </w:pPr>
      <w:r>
        <w:rPr>
          <w:rFonts w:hint="eastAsia" w:ascii="仿宋_GB2312" w:hAnsi="仿宋_GB2312" w:eastAsia="仿宋_GB2312" w:cs="仿宋_GB2312"/>
          <w:bCs/>
          <w:color w:val="171717"/>
          <w:sz w:val="32"/>
          <w:szCs w:val="32"/>
        </w:rPr>
        <w:t xml:space="preserve">法定代表人（或                </w:t>
      </w:r>
      <w:r>
        <w:rPr>
          <w:rFonts w:hint="eastAsia" w:ascii="仿宋_GB2312" w:hAnsi="仿宋_GB2312" w:eastAsia="仿宋_GB2312" w:cs="仿宋_GB2312"/>
          <w:bCs/>
          <w:color w:val="171717"/>
          <w:sz w:val="32"/>
          <w:szCs w:val="32"/>
          <w:lang w:val="en-US" w:eastAsia="zh-CN"/>
        </w:rPr>
        <w:t xml:space="preserve"> </w:t>
      </w:r>
      <w:r>
        <w:rPr>
          <w:rFonts w:hint="eastAsia" w:ascii="仿宋_GB2312" w:hAnsi="仿宋_GB2312" w:eastAsia="仿宋_GB2312" w:cs="仿宋_GB2312"/>
          <w:bCs/>
          <w:color w:val="171717"/>
          <w:sz w:val="32"/>
          <w:szCs w:val="32"/>
        </w:rPr>
        <w:t xml:space="preserve"> 法定代表人（或</w:t>
      </w:r>
    </w:p>
    <w:p>
      <w:pPr>
        <w:keepNext w:val="0"/>
        <w:keepLines w:val="0"/>
        <w:pageBreakBefore w:val="0"/>
        <w:kinsoku/>
        <w:overflowPunct/>
        <w:autoSpaceDE/>
        <w:autoSpaceDN/>
        <w:bidi w:val="0"/>
        <w:adjustRightInd/>
        <w:snapToGrid/>
        <w:spacing w:line="560" w:lineRule="exact"/>
        <w:textAlignment w:val="baseline"/>
        <w:rPr>
          <w:rFonts w:hint="eastAsia" w:ascii="仿宋_GB2312" w:hAnsi="仿宋_GB2312" w:eastAsia="仿宋_GB2312" w:cs="仿宋_GB2312"/>
          <w:bCs/>
          <w:color w:val="171717"/>
          <w:sz w:val="32"/>
          <w:szCs w:val="32"/>
        </w:rPr>
      </w:pPr>
      <w:r>
        <w:rPr>
          <w:rFonts w:hint="eastAsia" w:ascii="仿宋_GB2312" w:hAnsi="仿宋_GB2312" w:eastAsia="仿宋_GB2312" w:cs="仿宋_GB2312"/>
          <w:bCs/>
          <w:color w:val="171717"/>
          <w:sz w:val="32"/>
          <w:szCs w:val="32"/>
        </w:rPr>
        <w:t xml:space="preserve">授权代表）：                  </w:t>
      </w:r>
      <w:r>
        <w:rPr>
          <w:rFonts w:hint="eastAsia" w:ascii="仿宋_GB2312" w:hAnsi="仿宋_GB2312" w:eastAsia="仿宋_GB2312" w:cs="仿宋_GB2312"/>
          <w:bCs/>
          <w:color w:val="171717"/>
          <w:sz w:val="32"/>
          <w:szCs w:val="32"/>
          <w:lang w:val="en-US" w:eastAsia="zh-CN"/>
        </w:rPr>
        <w:t xml:space="preserve">  </w:t>
      </w:r>
      <w:r>
        <w:rPr>
          <w:rFonts w:hint="eastAsia" w:ascii="仿宋_GB2312" w:hAnsi="仿宋_GB2312" w:eastAsia="仿宋_GB2312" w:cs="仿宋_GB2312"/>
          <w:bCs/>
          <w:color w:val="171717"/>
          <w:sz w:val="32"/>
          <w:szCs w:val="32"/>
        </w:rPr>
        <w:t xml:space="preserve"> 授权代表）：      </w:t>
      </w:r>
    </w:p>
    <w:p>
      <w:pPr>
        <w:pStyle w:val="4"/>
        <w:keepNext w:val="0"/>
        <w:keepLines w:val="0"/>
        <w:pageBreakBefore w:val="0"/>
        <w:kinsoku/>
        <w:wordWrap w:val="0"/>
        <w:overflowPunct/>
        <w:topLinePunct/>
        <w:autoSpaceDE/>
        <w:autoSpaceDN/>
        <w:bidi w:val="0"/>
        <w:adjustRightInd/>
        <w:snapToGrid/>
        <w:spacing w:line="560" w:lineRule="exact"/>
        <w:rPr>
          <w:rFonts w:cs="Times New Roman"/>
        </w:rPr>
      </w:pP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日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 年     月     日</w:t>
      </w:r>
    </w:p>
    <w:p>
      <w:bookmarkStart w:id="0" w:name="_GoBack"/>
      <w:bookmarkEnd w:id="0"/>
    </w:p>
    <w:sectPr>
      <w:pgSz w:w="11906" w:h="16838"/>
      <w:pgMar w:top="1418" w:right="849" w:bottom="1440" w:left="1134" w:header="568"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B3B5D"/>
    <w:rsid w:val="095B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ody Text First Indent"/>
    <w:basedOn w:val="2"/>
    <w:qFormat/>
    <w:uiPriority w:val="99"/>
    <w:pPr>
      <w:ind w:firstLine="420" w:firstLineChars="100"/>
    </w:p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2022-08-16T06:58:00Z</dcterms:created>
  <dc:creator>On</dc:creator>
  <cp:lastModifiedBy>On</cp:lastModifiedBy>
  <dcterms:modified xsi:type="dcterms:W3CDTF">2022-08-16T06:59:10Z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